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344" w:rsidRPr="00AB365A" w:rsidRDefault="00324D9F">
      <w:pPr>
        <w:rPr>
          <w:rFonts w:ascii="Arial" w:hAnsi="Arial" w:cs="Arial"/>
          <w:color w:val="2D2D2D"/>
          <w:spacing w:val="1"/>
          <w:sz w:val="20"/>
          <w:szCs w:val="20"/>
          <w:shd w:val="clear" w:color="auto" w:fill="FFFFFF"/>
        </w:rPr>
      </w:pPr>
      <w:r w:rsidRPr="00AB365A">
        <w:rPr>
          <w:rFonts w:ascii="Arial" w:hAnsi="Arial" w:cs="Arial"/>
          <w:color w:val="2D2D2D"/>
          <w:spacing w:val="1"/>
          <w:sz w:val="20"/>
          <w:szCs w:val="20"/>
          <w:shd w:val="clear" w:color="auto" w:fill="FFFFFF"/>
        </w:rPr>
        <w:t>Уважаемые господа,</w:t>
      </w:r>
    </w:p>
    <w:p w:rsidR="00324D9F" w:rsidRDefault="00324D9F" w:rsidP="00324D9F">
      <w:pPr>
        <w:pStyle w:val="2"/>
        <w:shd w:val="clear" w:color="auto" w:fill="FFFFFF"/>
        <w:spacing w:before="313" w:beforeAutospacing="0" w:after="188" w:afterAutospacing="0"/>
        <w:textAlignment w:val="baseline"/>
        <w:rPr>
          <w:rFonts w:ascii="Arial" w:hAnsi="Arial" w:cs="Arial"/>
          <w:b w:val="0"/>
          <w:bCs w:val="0"/>
          <w:color w:val="3C3C3C"/>
          <w:spacing w:val="1"/>
          <w:sz w:val="18"/>
          <w:szCs w:val="18"/>
        </w:rPr>
      </w:pPr>
      <w:r w:rsidRPr="00324D9F">
        <w:rPr>
          <w:rFonts w:ascii="Arial" w:hAnsi="Arial" w:cs="Arial"/>
          <w:b w:val="0"/>
          <w:color w:val="2D2D2D"/>
          <w:spacing w:val="1"/>
          <w:sz w:val="18"/>
          <w:szCs w:val="18"/>
          <w:shd w:val="clear" w:color="auto" w:fill="FFFFFF"/>
        </w:rPr>
        <w:t>Сообщаем Вам, что продукция ООО «Веста»</w:t>
      </w:r>
      <w:r>
        <w:rPr>
          <w:rFonts w:ascii="Arial" w:hAnsi="Arial" w:cs="Arial"/>
          <w:b w:val="0"/>
          <w:color w:val="2D2D2D"/>
          <w:spacing w:val="1"/>
          <w:sz w:val="18"/>
          <w:szCs w:val="18"/>
          <w:shd w:val="clear" w:color="auto" w:fill="FFFFFF"/>
        </w:rPr>
        <w:t xml:space="preserve"> сертифицирована по ГОСТ 9817 – 95 (мангалы) и ГОСТ </w:t>
      </w:r>
      <w:proofErr w:type="gramStart"/>
      <w:r>
        <w:rPr>
          <w:rFonts w:ascii="Arial" w:hAnsi="Arial" w:cs="Arial"/>
          <w:b w:val="0"/>
          <w:color w:val="2D2D2D"/>
          <w:spacing w:val="1"/>
          <w:sz w:val="18"/>
          <w:szCs w:val="18"/>
          <w:shd w:val="clear" w:color="auto" w:fill="FFFFFF"/>
        </w:rPr>
        <w:t>Р</w:t>
      </w:r>
      <w:proofErr w:type="gramEnd"/>
      <w:r>
        <w:rPr>
          <w:rFonts w:ascii="Arial" w:hAnsi="Arial" w:cs="Arial"/>
          <w:b w:val="0"/>
          <w:color w:val="2D2D2D"/>
          <w:spacing w:val="1"/>
          <w:sz w:val="18"/>
          <w:szCs w:val="18"/>
          <w:shd w:val="clear" w:color="auto" w:fill="FFFFFF"/>
        </w:rPr>
        <w:t xml:space="preserve"> 53323 </w:t>
      </w:r>
      <w:r w:rsidR="009A08A9">
        <w:rPr>
          <w:rFonts w:ascii="Arial" w:hAnsi="Arial" w:cs="Arial"/>
          <w:b w:val="0"/>
          <w:color w:val="2D2D2D"/>
          <w:spacing w:val="1"/>
          <w:sz w:val="18"/>
          <w:szCs w:val="18"/>
          <w:shd w:val="clear" w:color="auto" w:fill="FFFFFF"/>
        </w:rPr>
        <w:t>–</w:t>
      </w:r>
      <w:r>
        <w:rPr>
          <w:rFonts w:ascii="Arial" w:hAnsi="Arial" w:cs="Arial"/>
          <w:b w:val="0"/>
          <w:color w:val="2D2D2D"/>
          <w:spacing w:val="1"/>
          <w:sz w:val="18"/>
          <w:szCs w:val="18"/>
          <w:shd w:val="clear" w:color="auto" w:fill="FFFFFF"/>
        </w:rPr>
        <w:t xml:space="preserve"> 2009</w:t>
      </w:r>
      <w:r w:rsidR="009A08A9">
        <w:rPr>
          <w:rFonts w:ascii="Arial" w:hAnsi="Arial" w:cs="Arial"/>
          <w:b w:val="0"/>
          <w:color w:val="2D2D2D"/>
          <w:spacing w:val="1"/>
          <w:sz w:val="18"/>
          <w:szCs w:val="18"/>
          <w:shd w:val="clear" w:color="auto" w:fill="FFFFFF"/>
        </w:rPr>
        <w:t xml:space="preserve"> (искрогаситель)</w:t>
      </w:r>
      <w:r w:rsidR="00AB365A">
        <w:rPr>
          <w:rFonts w:ascii="Arial" w:hAnsi="Arial" w:cs="Arial"/>
          <w:b w:val="0"/>
          <w:color w:val="2D2D2D"/>
          <w:spacing w:val="1"/>
          <w:sz w:val="18"/>
          <w:szCs w:val="18"/>
          <w:shd w:val="clear" w:color="auto" w:fill="FFFFFF"/>
        </w:rPr>
        <w:t xml:space="preserve">. Данные </w:t>
      </w:r>
      <w:proofErr w:type="spellStart"/>
      <w:r w:rsidR="00AB365A">
        <w:rPr>
          <w:rFonts w:ascii="Arial" w:hAnsi="Arial" w:cs="Arial"/>
          <w:b w:val="0"/>
          <w:color w:val="2D2D2D"/>
          <w:spacing w:val="1"/>
          <w:sz w:val="18"/>
          <w:szCs w:val="18"/>
          <w:shd w:val="clear" w:color="auto" w:fill="FFFFFF"/>
        </w:rPr>
        <w:t>ГОСТы</w:t>
      </w:r>
      <w:proofErr w:type="spellEnd"/>
      <w:r w:rsidR="00AB365A">
        <w:rPr>
          <w:rFonts w:ascii="Arial" w:hAnsi="Arial" w:cs="Arial"/>
          <w:b w:val="0"/>
          <w:color w:val="2D2D2D"/>
          <w:spacing w:val="1"/>
          <w:sz w:val="18"/>
          <w:szCs w:val="18"/>
          <w:shd w:val="clear" w:color="auto" w:fill="FFFFFF"/>
        </w:rPr>
        <w:t xml:space="preserve"> и продукция не вошли</w:t>
      </w:r>
      <w:r w:rsidRPr="00324D9F">
        <w:rPr>
          <w:rFonts w:ascii="Arial" w:hAnsi="Arial" w:cs="Arial"/>
          <w:b w:val="0"/>
          <w:color w:val="2D2D2D"/>
          <w:spacing w:val="1"/>
          <w:sz w:val="18"/>
          <w:szCs w:val="18"/>
          <w:shd w:val="clear" w:color="auto" w:fill="FFFFFF"/>
        </w:rPr>
        <w:t xml:space="preserve"> в</w:t>
      </w:r>
      <w:r>
        <w:rPr>
          <w:rFonts w:ascii="Arial" w:hAnsi="Arial" w:cs="Arial"/>
          <w:b w:val="0"/>
          <w:color w:val="2D2D2D"/>
          <w:spacing w:val="1"/>
          <w:sz w:val="18"/>
          <w:szCs w:val="18"/>
          <w:shd w:val="clear" w:color="auto" w:fill="FFFFFF"/>
        </w:rPr>
        <w:t xml:space="preserve"> </w:t>
      </w:r>
      <w:r w:rsidRPr="00324D9F">
        <w:rPr>
          <w:rFonts w:ascii="Arial" w:hAnsi="Arial" w:cs="Arial"/>
          <w:color w:val="2D2D2D"/>
          <w:spacing w:val="1"/>
          <w:sz w:val="18"/>
          <w:szCs w:val="18"/>
          <w:shd w:val="clear" w:color="auto" w:fill="FFFFFF"/>
        </w:rPr>
        <w:t xml:space="preserve"> </w:t>
      </w:r>
      <w:r w:rsidR="009A08A9">
        <w:rPr>
          <w:rFonts w:ascii="Arial" w:hAnsi="Arial" w:cs="Arial"/>
          <w:color w:val="2D2D2D"/>
          <w:spacing w:val="1"/>
          <w:sz w:val="18"/>
          <w:szCs w:val="18"/>
          <w:shd w:val="clear" w:color="auto" w:fill="FFFFFF"/>
        </w:rPr>
        <w:t>«</w:t>
      </w:r>
      <w:r w:rsidRPr="00324D9F">
        <w:rPr>
          <w:rFonts w:ascii="Arial" w:hAnsi="Arial" w:cs="Arial"/>
          <w:b w:val="0"/>
          <w:bCs w:val="0"/>
          <w:color w:val="3C3C3C"/>
          <w:spacing w:val="1"/>
          <w:sz w:val="18"/>
          <w:szCs w:val="18"/>
        </w:rPr>
        <w:t>Единый перечень продукции, подлежащей обязательной оценке (подтверждению) соответствия в рамках Таможенного союза с выдачей единых документов</w:t>
      </w:r>
      <w:r w:rsidR="009A08A9">
        <w:rPr>
          <w:rFonts w:ascii="Arial" w:hAnsi="Arial" w:cs="Arial"/>
          <w:b w:val="0"/>
          <w:bCs w:val="0"/>
          <w:color w:val="3C3C3C"/>
          <w:spacing w:val="1"/>
          <w:sz w:val="18"/>
          <w:szCs w:val="18"/>
        </w:rPr>
        <w:t>»</w:t>
      </w:r>
      <w:r>
        <w:rPr>
          <w:rFonts w:ascii="Arial" w:hAnsi="Arial" w:cs="Arial"/>
          <w:b w:val="0"/>
          <w:bCs w:val="0"/>
          <w:color w:val="3C3C3C"/>
          <w:spacing w:val="1"/>
          <w:sz w:val="18"/>
          <w:szCs w:val="18"/>
        </w:rPr>
        <w:t xml:space="preserve"> № 620 от 7.04.2011.</w:t>
      </w:r>
    </w:p>
    <w:p w:rsidR="00324D9F" w:rsidRPr="00324D9F" w:rsidRDefault="00324D9F" w:rsidP="00324D9F">
      <w:pPr>
        <w:pStyle w:val="2"/>
        <w:shd w:val="clear" w:color="auto" w:fill="FFFFFF"/>
        <w:spacing w:before="313" w:beforeAutospacing="0" w:after="188" w:afterAutospacing="0"/>
        <w:textAlignment w:val="baseline"/>
        <w:rPr>
          <w:rFonts w:ascii="Arial" w:hAnsi="Arial" w:cs="Arial"/>
          <w:b w:val="0"/>
          <w:bCs w:val="0"/>
          <w:color w:val="3C3C3C"/>
          <w:spacing w:val="1"/>
          <w:sz w:val="18"/>
          <w:szCs w:val="18"/>
        </w:rPr>
      </w:pPr>
      <w:r>
        <w:rPr>
          <w:rFonts w:ascii="Arial" w:hAnsi="Arial" w:cs="Arial"/>
          <w:b w:val="0"/>
          <w:bCs w:val="0"/>
          <w:color w:val="3C3C3C"/>
          <w:spacing w:val="1"/>
          <w:sz w:val="18"/>
          <w:szCs w:val="18"/>
        </w:rPr>
        <w:t>И в соответствии с примечанием к данному документу:</w:t>
      </w:r>
    </w:p>
    <w:p w:rsidR="0093404D" w:rsidRDefault="00CC3344">
      <w:pPr>
        <w:rPr>
          <w:rFonts w:ascii="Arial" w:hAnsi="Arial" w:cs="Arial"/>
          <w:color w:val="2D2D2D"/>
          <w:spacing w:val="1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2D2D2D"/>
          <w:spacing w:val="1"/>
          <w:sz w:val="18"/>
          <w:szCs w:val="18"/>
          <w:shd w:val="clear" w:color="auto" w:fill="FFFFFF"/>
        </w:rPr>
        <w:t>2. Продукция, не включенная в Единый перечень, подлежит обязательной оценке (подтверждению) соответствия согласно национальному законодательству государств - членов Таможенного союза.</w:t>
      </w:r>
    </w:p>
    <w:p w:rsidR="00145E6F" w:rsidRPr="00145E6F" w:rsidRDefault="00145E6F">
      <w:r w:rsidRPr="00145E6F">
        <w:rPr>
          <w:rFonts w:ascii="Arial" w:hAnsi="Arial" w:cs="Arial"/>
          <w:sz w:val="18"/>
          <w:szCs w:val="18"/>
        </w:rPr>
        <w:t>В соответствии с пунктом: Сроки действия документов об оценке (подтверждении) соответствия в переходном периоде -</w:t>
      </w:r>
      <w:r>
        <w:t xml:space="preserve"> </w:t>
      </w:r>
      <w:r>
        <w:rPr>
          <w:rFonts w:ascii="Arial" w:hAnsi="Arial" w:cs="Arial"/>
          <w:color w:val="2D2D2D"/>
          <w:spacing w:val="1"/>
          <w:sz w:val="18"/>
          <w:szCs w:val="18"/>
          <w:shd w:val="clear" w:color="auto" w:fill="FFFFFF"/>
        </w:rPr>
        <w:t>Действительны до окончания срока их действия.</w:t>
      </w:r>
    </w:p>
    <w:p w:rsidR="00324D9F" w:rsidRPr="00AB365A" w:rsidRDefault="00145E6F">
      <w:pPr>
        <w:rPr>
          <w:rFonts w:ascii="Arial" w:hAnsi="Arial" w:cs="Arial"/>
          <w:b/>
          <w:color w:val="2D2D2D"/>
          <w:spacing w:val="1"/>
          <w:sz w:val="18"/>
          <w:szCs w:val="18"/>
          <w:shd w:val="clear" w:color="auto" w:fill="FFFFFF"/>
        </w:rPr>
      </w:pPr>
      <w:r w:rsidRPr="00AB365A">
        <w:rPr>
          <w:rFonts w:ascii="Arial" w:hAnsi="Arial" w:cs="Arial"/>
          <w:b/>
          <w:color w:val="2D2D2D"/>
          <w:spacing w:val="1"/>
          <w:sz w:val="18"/>
          <w:szCs w:val="18"/>
          <w:shd w:val="clear" w:color="auto" w:fill="FFFFFF"/>
        </w:rPr>
        <w:t>ПРИМЕЧАНИЕ</w:t>
      </w:r>
      <w:r>
        <w:rPr>
          <w:rFonts w:ascii="Arial" w:hAnsi="Arial" w:cs="Arial"/>
          <w:color w:val="2D2D2D"/>
          <w:spacing w:val="1"/>
          <w:sz w:val="18"/>
          <w:szCs w:val="18"/>
          <w:shd w:val="clear" w:color="auto" w:fill="FFFFFF"/>
        </w:rPr>
        <w:t xml:space="preserve">  </w:t>
      </w:r>
      <w:r w:rsidR="00AB365A">
        <w:rPr>
          <w:rFonts w:ascii="Arial" w:hAnsi="Arial" w:cs="Arial"/>
          <w:color w:val="2D2D2D"/>
          <w:spacing w:val="1"/>
          <w:sz w:val="18"/>
          <w:szCs w:val="18"/>
          <w:shd w:val="clear" w:color="auto" w:fill="FFFFFF"/>
        </w:rPr>
        <w:t xml:space="preserve">7. Для целей использования Единого перечня необходимо руководствоваться наименованиями продукции, а также кодами Товарной номенклатуры внешнеэкономической деятельности Таможенного союза.  </w:t>
      </w:r>
      <w:r w:rsidR="00AB365A" w:rsidRPr="00AB365A">
        <w:rPr>
          <w:rFonts w:ascii="Arial" w:hAnsi="Arial" w:cs="Arial"/>
          <w:b/>
          <w:color w:val="2D2D2D"/>
          <w:spacing w:val="1"/>
          <w:sz w:val="18"/>
          <w:szCs w:val="18"/>
          <w:shd w:val="clear" w:color="auto" w:fill="FFFFFF"/>
        </w:rPr>
        <w:t>– Внимательно подбирайте коды!</w:t>
      </w:r>
    </w:p>
    <w:p w:rsidR="00AB365A" w:rsidRPr="001D1EB0" w:rsidRDefault="00AB365A" w:rsidP="00AB365A">
      <w:pPr>
        <w:shd w:val="clear" w:color="auto" w:fill="FFFFFF"/>
        <w:spacing w:after="150" w:line="270" w:lineRule="atLeast"/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</w:pPr>
      <w:r w:rsidRPr="001D1EB0">
        <w:rPr>
          <w:rFonts w:ascii="Arial" w:hAnsi="Arial" w:cs="Arial"/>
          <w:color w:val="2D2D2D"/>
          <w:spacing w:val="1"/>
          <w:sz w:val="18"/>
          <w:szCs w:val="18"/>
          <w:shd w:val="clear" w:color="auto" w:fill="FFFFFF"/>
        </w:rPr>
        <w:t xml:space="preserve">Кроме того, </w:t>
      </w:r>
      <w:proofErr w:type="gramStart"/>
      <w:r w:rsidRPr="001D1EB0">
        <w:rPr>
          <w:rFonts w:ascii="Arial" w:hAnsi="Arial" w:cs="Arial"/>
          <w:color w:val="2D2D2D"/>
          <w:spacing w:val="1"/>
          <w:sz w:val="18"/>
          <w:szCs w:val="18"/>
          <w:shd w:val="clear" w:color="auto" w:fill="FFFFFF"/>
        </w:rPr>
        <w:t>сообщаем</w:t>
      </w:r>
      <w:proofErr w:type="gramEnd"/>
      <w:r w:rsidRPr="001D1EB0">
        <w:rPr>
          <w:rFonts w:ascii="Arial" w:hAnsi="Arial" w:cs="Arial"/>
          <w:color w:val="2D2D2D"/>
          <w:spacing w:val="1"/>
          <w:sz w:val="18"/>
          <w:szCs w:val="18"/>
          <w:shd w:val="clear" w:color="auto" w:fill="FFFFFF"/>
        </w:rPr>
        <w:t xml:space="preserve"> что </w:t>
      </w:r>
      <w:r w:rsidRPr="001D1EB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ГОСТ 9817-95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«</w:t>
      </w:r>
      <w:r w:rsidRPr="001D1EB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МЕЖГОСУДАРСТВЕННЫЙ СТАНДАРТ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 xml:space="preserve">АППАРАТЫ БЫТОВЫЕ, РАБОТАЮЩИЕ </w:t>
      </w:r>
      <w:r w:rsidRPr="001D1EB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НА ТВЕРДОМ ТОПЛИВЕ</w:t>
      </w: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 xml:space="preserve"> </w:t>
      </w:r>
      <w:r w:rsidRPr="001D1EB0"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ОБЩИЕ ТЕХНИЧЕСКИЕ УСЛОВИЯ</w:t>
      </w:r>
      <w:r>
        <w:rPr>
          <w:rFonts w:ascii="Arial" w:eastAsia="Times New Roman" w:hAnsi="Arial" w:cs="Arial"/>
          <w:bCs/>
          <w:color w:val="333333"/>
          <w:sz w:val="18"/>
          <w:szCs w:val="18"/>
          <w:lang w:eastAsia="ru-RU"/>
        </w:rPr>
        <w:t>» является межгосударственным стандартом, действующем на территории 11 стран. В том числе России, Украины, Казахстана, Белоруссии.</w:t>
      </w:r>
    </w:p>
    <w:p w:rsidR="00CC3344" w:rsidRDefault="00CC3344"/>
    <w:sectPr w:rsidR="00CC3344" w:rsidSect="00934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C3344"/>
    <w:rsid w:val="00101F78"/>
    <w:rsid w:val="00145E6F"/>
    <w:rsid w:val="001D1EB0"/>
    <w:rsid w:val="00324D9F"/>
    <w:rsid w:val="0093404D"/>
    <w:rsid w:val="00953479"/>
    <w:rsid w:val="009A08A9"/>
    <w:rsid w:val="00AB365A"/>
    <w:rsid w:val="00CC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04D"/>
  </w:style>
  <w:style w:type="paragraph" w:styleId="2">
    <w:name w:val="heading 2"/>
    <w:basedOn w:val="a"/>
    <w:link w:val="20"/>
    <w:uiPriority w:val="9"/>
    <w:qFormat/>
    <w:rsid w:val="00324D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CC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24D9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2015-03-03T08:29:00Z</dcterms:created>
  <dcterms:modified xsi:type="dcterms:W3CDTF">2015-03-03T09:30:00Z</dcterms:modified>
</cp:coreProperties>
</file>